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DE" w:rsidRDefault="00C603DE" w:rsidP="00C603DE">
      <w:r>
        <w:rPr>
          <w:rFonts w:hint="eastAsia"/>
        </w:rPr>
        <w:t>○入間市地域活動傷害見舞金等支給要綱</w:t>
      </w:r>
      <w:bookmarkStart w:id="0" w:name="_GoBack"/>
      <w:bookmarkEnd w:id="0"/>
    </w:p>
    <w:p w:rsidR="00C603DE" w:rsidRDefault="00C603DE" w:rsidP="00C603DE">
      <w:pPr>
        <w:jc w:val="right"/>
      </w:pPr>
      <w:r>
        <w:rPr>
          <w:rFonts w:hint="eastAsia"/>
        </w:rPr>
        <w:t>昭和５６年３月１７日</w:t>
      </w:r>
    </w:p>
    <w:p w:rsidR="00C603DE" w:rsidRDefault="00C603DE" w:rsidP="00C603DE">
      <w:pPr>
        <w:jc w:val="right"/>
      </w:pPr>
      <w:r>
        <w:rPr>
          <w:rFonts w:hint="eastAsia"/>
        </w:rPr>
        <w:t>告示第２３号</w:t>
      </w:r>
    </w:p>
    <w:p w:rsidR="00C603DE" w:rsidRDefault="00C603DE" w:rsidP="00C603DE">
      <w:pPr>
        <w:jc w:val="right"/>
      </w:pPr>
      <w:r>
        <w:rPr>
          <w:rFonts w:hint="eastAsia"/>
        </w:rPr>
        <w:t>改正　昭和６１年３月３１日告示第２６号</w:t>
      </w:r>
    </w:p>
    <w:p w:rsidR="00C603DE" w:rsidRDefault="00C603DE" w:rsidP="00C603DE">
      <w:pPr>
        <w:jc w:val="right"/>
      </w:pPr>
      <w:r>
        <w:rPr>
          <w:rFonts w:hint="eastAsia"/>
        </w:rPr>
        <w:t>平成２年１２月２５日告示第１６１号</w:t>
      </w:r>
    </w:p>
    <w:p w:rsidR="00C603DE" w:rsidRDefault="00C603DE" w:rsidP="00C603DE">
      <w:pPr>
        <w:jc w:val="right"/>
      </w:pPr>
      <w:r>
        <w:rPr>
          <w:rFonts w:hint="eastAsia"/>
        </w:rPr>
        <w:t>平成５年９月３０日告示第１４０号</w:t>
      </w:r>
    </w:p>
    <w:p w:rsidR="00C603DE" w:rsidRDefault="00C603DE" w:rsidP="00C603DE">
      <w:pPr>
        <w:jc w:val="right"/>
      </w:pPr>
      <w:r>
        <w:rPr>
          <w:rFonts w:hint="eastAsia"/>
        </w:rPr>
        <w:t>平成８年４月２４日告示第８１号</w:t>
      </w:r>
    </w:p>
    <w:p w:rsidR="00C603DE" w:rsidRDefault="00C603DE" w:rsidP="00C603DE">
      <w:pPr>
        <w:jc w:val="right"/>
      </w:pPr>
      <w:r>
        <w:rPr>
          <w:rFonts w:hint="eastAsia"/>
        </w:rPr>
        <w:t>平成８年１２月２５日告示第１８８号</w:t>
      </w:r>
    </w:p>
    <w:p w:rsidR="00C603DE" w:rsidRDefault="00C603DE" w:rsidP="00C603DE">
      <w:pPr>
        <w:jc w:val="right"/>
      </w:pPr>
      <w:r>
        <w:rPr>
          <w:rFonts w:hint="eastAsia"/>
        </w:rPr>
        <w:t>平成２８年９月３０日告示第２４１号</w:t>
      </w:r>
    </w:p>
    <w:p w:rsidR="00C603DE" w:rsidRDefault="00C603DE" w:rsidP="00C603DE">
      <w:pPr>
        <w:jc w:val="right"/>
      </w:pPr>
      <w:r>
        <w:rPr>
          <w:rFonts w:hint="eastAsia"/>
        </w:rPr>
        <w:t>注　平成２年１２月から改正経過を注記した。</w:t>
      </w:r>
    </w:p>
    <w:p w:rsidR="00C603DE" w:rsidRDefault="00C603DE" w:rsidP="00C603DE">
      <w:r>
        <w:rPr>
          <w:rFonts w:hint="eastAsia"/>
        </w:rPr>
        <w:t>（目的）</w:t>
      </w:r>
    </w:p>
    <w:p w:rsidR="00C603DE" w:rsidRDefault="00C603DE" w:rsidP="00C603DE">
      <w:r>
        <w:rPr>
          <w:rFonts w:hint="eastAsia"/>
        </w:rPr>
        <w:t>第１条　この要綱は、地域活動中に負傷又は死亡（以下「傷害」という。）を受けた者に対し、地域活動傷害見舞金又は弔慰金（以下「見舞金等」という。）を支給し、もつて地域活動の振興を図ることを目的とする。</w:t>
      </w:r>
    </w:p>
    <w:p w:rsidR="00C603DE" w:rsidRDefault="00C603DE" w:rsidP="00C603DE">
      <w:r>
        <w:rPr>
          <w:rFonts w:hint="eastAsia"/>
        </w:rPr>
        <w:t>（平８告示８１・一部改正）</w:t>
      </w:r>
    </w:p>
    <w:p w:rsidR="00C603DE" w:rsidRDefault="00C603DE" w:rsidP="00C603DE">
      <w:r>
        <w:rPr>
          <w:rFonts w:hint="eastAsia"/>
        </w:rPr>
        <w:t>（見舞金等の支給）</w:t>
      </w:r>
    </w:p>
    <w:p w:rsidR="00C603DE" w:rsidRDefault="00C603DE" w:rsidP="00C603DE">
      <w:r>
        <w:rPr>
          <w:rFonts w:hint="eastAsia"/>
        </w:rPr>
        <w:t>第２条　市長は、次の各号のいずれかに該当する活動（公務による場合は除く。）に従事し、傷害を受けた者又はその遺族に対して見舞金等を支給する。</w:t>
      </w:r>
    </w:p>
    <w:p w:rsidR="00C603DE" w:rsidRDefault="00C603DE" w:rsidP="00C603DE">
      <w:r>
        <w:rPr>
          <w:rFonts w:hint="eastAsia"/>
        </w:rPr>
        <w:t>(1)　市の依頼に基づき、区、自治会又は衛生自治会が行う公共活動</w:t>
      </w:r>
    </w:p>
    <w:p w:rsidR="00C603DE" w:rsidRDefault="00C603DE" w:rsidP="00C603DE">
      <w:r>
        <w:rPr>
          <w:rFonts w:hint="eastAsia"/>
        </w:rPr>
        <w:t>(2)　市の依頼に基づく市民清掃デーによる清掃活動</w:t>
      </w:r>
    </w:p>
    <w:p w:rsidR="00C603DE" w:rsidRDefault="00C603DE" w:rsidP="00C603DE">
      <w:r>
        <w:rPr>
          <w:rFonts w:hint="eastAsia"/>
        </w:rPr>
        <w:t>(3)　市、自主防災会等が計画した防災訓練活動</w:t>
      </w:r>
    </w:p>
    <w:p w:rsidR="00C603DE" w:rsidRDefault="00C603DE" w:rsidP="00C603DE">
      <w:r>
        <w:rPr>
          <w:rFonts w:hint="eastAsia"/>
        </w:rPr>
        <w:t>(4)　災害活動</w:t>
      </w:r>
    </w:p>
    <w:p w:rsidR="00C603DE" w:rsidRDefault="00C603DE" w:rsidP="00C603DE">
      <w:r>
        <w:rPr>
          <w:rFonts w:hint="eastAsia"/>
        </w:rPr>
        <w:t>(5)　市又は入間市社会福祉協議会が依頼した業務</w:t>
      </w:r>
    </w:p>
    <w:p w:rsidR="00C603DE" w:rsidRDefault="00C603DE" w:rsidP="00C603DE">
      <w:r>
        <w:rPr>
          <w:rFonts w:hint="eastAsia"/>
        </w:rPr>
        <w:t>(6)　前各号に掲げるもののほか、これに準ずる活動と市長が認めたもの</w:t>
      </w:r>
    </w:p>
    <w:p w:rsidR="00C603DE" w:rsidRDefault="00C603DE" w:rsidP="00C603DE">
      <w:r>
        <w:rPr>
          <w:rFonts w:hint="eastAsia"/>
        </w:rPr>
        <w:t>（平８告示８１・一部改正）</w:t>
      </w:r>
    </w:p>
    <w:p w:rsidR="00C603DE" w:rsidRDefault="00C603DE" w:rsidP="00C603DE">
      <w:r>
        <w:rPr>
          <w:rFonts w:hint="eastAsia"/>
        </w:rPr>
        <w:t>（見舞金等の額）</w:t>
      </w:r>
    </w:p>
    <w:p w:rsidR="00C603DE" w:rsidRDefault="00C603DE" w:rsidP="00C603DE">
      <w:r>
        <w:rPr>
          <w:rFonts w:hint="eastAsia"/>
        </w:rPr>
        <w:t>第３条　見舞金等の額は、別表に定めるとおりとする。</w:t>
      </w:r>
    </w:p>
    <w:p w:rsidR="00C603DE" w:rsidRDefault="00C603DE" w:rsidP="00C603DE">
      <w:r>
        <w:rPr>
          <w:rFonts w:hint="eastAsia"/>
        </w:rPr>
        <w:t>（受給資格者）</w:t>
      </w:r>
    </w:p>
    <w:p w:rsidR="00C603DE" w:rsidRDefault="00C603DE" w:rsidP="00C603DE">
      <w:r>
        <w:rPr>
          <w:rFonts w:hint="eastAsia"/>
        </w:rPr>
        <w:t>第４条　見舞金等の支給を受ける者（以下「受給資格者」という。）は、負傷を受けた場合にあつてはその者とし、死亡した場合にあつてはその遺族とする。</w:t>
      </w:r>
    </w:p>
    <w:p w:rsidR="00C603DE" w:rsidRDefault="00C603DE" w:rsidP="00C603DE">
      <w:r>
        <w:rPr>
          <w:rFonts w:hint="eastAsia"/>
        </w:rPr>
        <w:t>２　前項に規定する遺族の範囲及び順位は、入間市災害弔慰金の支給等に関する条例（昭和</w:t>
      </w:r>
      <w:r>
        <w:rPr>
          <w:rFonts w:hint="eastAsia"/>
        </w:rPr>
        <w:lastRenderedPageBreak/>
        <w:t>４９年条例第４１号）第４条の規定を準用する。</w:t>
      </w:r>
    </w:p>
    <w:p w:rsidR="00C603DE" w:rsidRDefault="00C603DE" w:rsidP="00C603DE">
      <w:r>
        <w:rPr>
          <w:rFonts w:hint="eastAsia"/>
        </w:rPr>
        <w:t>（届出）</w:t>
      </w:r>
    </w:p>
    <w:p w:rsidR="00C603DE" w:rsidRDefault="00C603DE" w:rsidP="00C603DE">
      <w:r>
        <w:rPr>
          <w:rFonts w:hint="eastAsia"/>
        </w:rPr>
        <w:t>第５条　受給資格者が見舞金等の支給を受けようとするときは、本人又は同居の親族が入間市地域活動傷害届出書（様式第１号）に医師の診断書（死亡した場合は、死亡診断書又は検案書）又はその写しを添えて、傷害を受けた日から３０日以内に市長に届け出るものとする。</w:t>
      </w:r>
    </w:p>
    <w:p w:rsidR="00C603DE" w:rsidRDefault="00C603DE" w:rsidP="00C603DE">
      <w:r>
        <w:rPr>
          <w:rFonts w:hint="eastAsia"/>
        </w:rPr>
        <w:t>（平８告示８１・一部改正）</w:t>
      </w:r>
    </w:p>
    <w:p w:rsidR="00C603DE" w:rsidRDefault="00C603DE" w:rsidP="00C603DE">
      <w:r>
        <w:rPr>
          <w:rFonts w:hint="eastAsia"/>
        </w:rPr>
        <w:t>（支給の決定）</w:t>
      </w:r>
    </w:p>
    <w:p w:rsidR="00C603DE" w:rsidRDefault="00C603DE" w:rsidP="00C603DE">
      <w:r>
        <w:rPr>
          <w:rFonts w:hint="eastAsia"/>
        </w:rPr>
        <w:t>第６条　市長は、前条の規定による届出があつたときは、入間市地域活動傷害見舞金等支給審査委員会に諮り、可否を決定する。ただし、別表第５等級及び第６等級に規定する傷害の場合は、入間市地域活動傷害見舞金等支給審査委員会を省略することができる。</w:t>
      </w:r>
    </w:p>
    <w:p w:rsidR="00C603DE" w:rsidRDefault="00C603DE" w:rsidP="00C603DE">
      <w:r>
        <w:rPr>
          <w:rFonts w:hint="eastAsia"/>
        </w:rPr>
        <w:t>２　市長は、前項の規定により決定したときは、入間市地域活動傷害見舞金等支給決定（却下）通知書（様式第２号）により、通知するものとする。</w:t>
      </w:r>
    </w:p>
    <w:p w:rsidR="00C603DE" w:rsidRDefault="00C603DE" w:rsidP="00C603DE">
      <w:r>
        <w:rPr>
          <w:rFonts w:hint="eastAsia"/>
        </w:rPr>
        <w:t>（平８告示８１・一部改正）</w:t>
      </w:r>
    </w:p>
    <w:p w:rsidR="00C603DE" w:rsidRDefault="00C603DE" w:rsidP="00C603DE">
      <w:r>
        <w:rPr>
          <w:rFonts w:hint="eastAsia"/>
        </w:rPr>
        <w:t>（支給の制限）</w:t>
      </w:r>
    </w:p>
    <w:p w:rsidR="00C603DE" w:rsidRDefault="00C603DE" w:rsidP="00C603DE">
      <w:r>
        <w:rPr>
          <w:rFonts w:hint="eastAsia"/>
        </w:rPr>
        <w:t>第７条　見舞金等の支給対象となる傷害がその者の故意又は重大な過失による場合は、これを支給しない。</w:t>
      </w:r>
    </w:p>
    <w:p w:rsidR="00C603DE" w:rsidRDefault="00C603DE" w:rsidP="00C603DE">
      <w:r>
        <w:rPr>
          <w:rFonts w:hint="eastAsia"/>
        </w:rPr>
        <w:t>（支給の決定の取消し等）</w:t>
      </w:r>
    </w:p>
    <w:p w:rsidR="00C603DE" w:rsidRDefault="00C603DE" w:rsidP="00C603DE">
      <w:r>
        <w:rPr>
          <w:rFonts w:hint="eastAsia"/>
        </w:rPr>
        <w:t>第８条　市長は、偽りその他不正の手段により見舞金等の支給の決定を受けた者に対して、その支給の決定を取消し、又は既に支給した見舞金等の全部又は一部をその者から返還させることができる。</w:t>
      </w:r>
    </w:p>
    <w:p w:rsidR="00C603DE" w:rsidRDefault="00C603DE" w:rsidP="00C603DE">
      <w:r>
        <w:rPr>
          <w:rFonts w:hint="eastAsia"/>
        </w:rPr>
        <w:t>（委員会）</w:t>
      </w:r>
    </w:p>
    <w:p w:rsidR="00C603DE" w:rsidRDefault="00C603DE" w:rsidP="00C603DE">
      <w:r>
        <w:rPr>
          <w:rFonts w:hint="eastAsia"/>
        </w:rPr>
        <w:t>第９条　見舞金等の支給に関する事項を審査するため、入間市地域活動傷害見舞金等支給審査委員会（以下「委員会」という。）を置く。</w:t>
      </w:r>
    </w:p>
    <w:p w:rsidR="00C603DE" w:rsidRDefault="00C603DE" w:rsidP="00C603DE">
      <w:r>
        <w:rPr>
          <w:rFonts w:hint="eastAsia"/>
        </w:rPr>
        <w:t>２　委員会は、委員若干人をもつて組織し、市の職員のうちから市長が任命する。</w:t>
      </w:r>
    </w:p>
    <w:p w:rsidR="00C603DE" w:rsidRDefault="00C603DE" w:rsidP="00C603DE">
      <w:r>
        <w:rPr>
          <w:rFonts w:hint="eastAsia"/>
        </w:rPr>
        <w:t>３　委員の任期は、２年とする。ただし、再任を妨げない。</w:t>
      </w:r>
    </w:p>
    <w:p w:rsidR="00C603DE" w:rsidRDefault="00C603DE" w:rsidP="00C603DE">
      <w:r>
        <w:rPr>
          <w:rFonts w:hint="eastAsia"/>
        </w:rPr>
        <w:t>（会長及び副会長）</w:t>
      </w:r>
    </w:p>
    <w:p w:rsidR="00C603DE" w:rsidRDefault="00C603DE" w:rsidP="00C603DE">
      <w:r>
        <w:rPr>
          <w:rFonts w:hint="eastAsia"/>
        </w:rPr>
        <w:t>第１０条　委員会に、会長及び副会長を置き、会長は、市民生活部長とし、副会長は、委員の互選により定める。</w:t>
      </w:r>
    </w:p>
    <w:p w:rsidR="00C603DE" w:rsidRDefault="00C603DE" w:rsidP="00C603DE">
      <w:r>
        <w:rPr>
          <w:rFonts w:hint="eastAsia"/>
        </w:rPr>
        <w:t>２　会長は、会務を総理し、委員会を代表する。</w:t>
      </w:r>
    </w:p>
    <w:p w:rsidR="00C603DE" w:rsidRDefault="00C603DE" w:rsidP="00C603DE">
      <w:r>
        <w:rPr>
          <w:rFonts w:hint="eastAsia"/>
        </w:rPr>
        <w:t>３　副会長は、会長を補佐し、会長に事故があるときは、その職務を代理する。</w:t>
      </w:r>
    </w:p>
    <w:p w:rsidR="00C603DE" w:rsidRDefault="00C603DE" w:rsidP="00C603DE">
      <w:r>
        <w:rPr>
          <w:rFonts w:hint="eastAsia"/>
        </w:rPr>
        <w:t>（平８告示１８８・平２８告示２４１・一部改正）</w:t>
      </w:r>
    </w:p>
    <w:p w:rsidR="00C603DE" w:rsidRDefault="00C603DE" w:rsidP="00C603DE">
      <w:r>
        <w:rPr>
          <w:rFonts w:hint="eastAsia"/>
        </w:rPr>
        <w:lastRenderedPageBreak/>
        <w:t>（会議）</w:t>
      </w:r>
    </w:p>
    <w:p w:rsidR="00C603DE" w:rsidRDefault="00C603DE" w:rsidP="00C603DE">
      <w:r>
        <w:rPr>
          <w:rFonts w:hint="eastAsia"/>
        </w:rPr>
        <w:t>第１１条　委員会は、会長が招集し、会長が会議の議長となる。</w:t>
      </w:r>
    </w:p>
    <w:p w:rsidR="00C603DE" w:rsidRDefault="00C603DE" w:rsidP="00C603DE">
      <w:r>
        <w:rPr>
          <w:rFonts w:hint="eastAsia"/>
        </w:rPr>
        <w:t>２　委員会は、委員の半数以上の出席がなければ、会議を開くことができない。</w:t>
      </w:r>
    </w:p>
    <w:p w:rsidR="00C603DE" w:rsidRDefault="00C603DE" w:rsidP="00C603DE">
      <w:r>
        <w:rPr>
          <w:rFonts w:hint="eastAsia"/>
        </w:rPr>
        <w:t>（庶務）</w:t>
      </w:r>
    </w:p>
    <w:p w:rsidR="00202FD1" w:rsidRPr="00202FD1" w:rsidRDefault="00202FD1" w:rsidP="00C603DE">
      <w:pPr>
        <w:rPr>
          <w:rFonts w:hint="eastAsia"/>
        </w:rPr>
      </w:pPr>
      <w:r>
        <w:rPr>
          <w:rFonts w:hint="eastAsia"/>
        </w:rPr>
        <w:t>第１２条　委員会の庶務は、市民生活部地域振興</w:t>
      </w:r>
      <w:r w:rsidR="00C603DE">
        <w:rPr>
          <w:rFonts w:hint="eastAsia"/>
        </w:rPr>
        <w:t>課において処理する。</w:t>
      </w:r>
    </w:p>
    <w:p w:rsidR="00C603DE" w:rsidRDefault="00C603DE" w:rsidP="00C603DE">
      <w:r>
        <w:rPr>
          <w:rFonts w:hint="eastAsia"/>
        </w:rPr>
        <w:t>（平２告示１６１・平８告示１８８・平２８告示２４１・</w:t>
      </w:r>
      <w:r w:rsidR="00202FD1" w:rsidRPr="00202FD1">
        <w:rPr>
          <w:rFonts w:hint="eastAsia"/>
        </w:rPr>
        <w:t>令</w:t>
      </w:r>
      <w:r w:rsidR="00202FD1">
        <w:rPr>
          <w:rFonts w:hint="eastAsia"/>
        </w:rPr>
        <w:t>３</w:t>
      </w:r>
      <w:r w:rsidR="00202FD1" w:rsidRPr="00202FD1">
        <w:rPr>
          <w:rFonts w:hint="eastAsia"/>
        </w:rPr>
        <w:t>告示</w:t>
      </w:r>
      <w:r w:rsidR="00202FD1">
        <w:rPr>
          <w:rFonts w:hint="eastAsia"/>
        </w:rPr>
        <w:t>３２４・</w:t>
      </w:r>
      <w:r>
        <w:rPr>
          <w:rFonts w:hint="eastAsia"/>
        </w:rPr>
        <w:t>一部改正）</w:t>
      </w:r>
    </w:p>
    <w:p w:rsidR="00C603DE" w:rsidRDefault="00C603DE" w:rsidP="00C603DE">
      <w:r>
        <w:rPr>
          <w:rFonts w:hint="eastAsia"/>
        </w:rPr>
        <w:t>（雑則）</w:t>
      </w:r>
    </w:p>
    <w:p w:rsidR="00C603DE" w:rsidRDefault="00C603DE" w:rsidP="00C603DE">
      <w:r>
        <w:rPr>
          <w:rFonts w:hint="eastAsia"/>
        </w:rPr>
        <w:t>第１３条　この要綱に定めるもののほか、必要な事項は、別に定める。</w:t>
      </w:r>
    </w:p>
    <w:p w:rsidR="00C603DE" w:rsidRDefault="00C603DE" w:rsidP="00C603DE">
      <w:r>
        <w:rPr>
          <w:rFonts w:hint="eastAsia"/>
        </w:rPr>
        <w:t>附　則</w:t>
      </w:r>
    </w:p>
    <w:p w:rsidR="00C603DE" w:rsidRDefault="00C603DE" w:rsidP="00C603DE">
      <w:r>
        <w:rPr>
          <w:rFonts w:hint="eastAsia"/>
        </w:rPr>
        <w:t>この要綱は、昭和５６年４月１日から施行する。</w:t>
      </w:r>
    </w:p>
    <w:p w:rsidR="00C603DE" w:rsidRDefault="00C603DE" w:rsidP="00C603DE">
      <w:r>
        <w:rPr>
          <w:rFonts w:hint="eastAsia"/>
        </w:rPr>
        <w:t>附　則（昭和６１年告示第２６号）</w:t>
      </w:r>
    </w:p>
    <w:p w:rsidR="00C603DE" w:rsidRDefault="00C603DE" w:rsidP="00C603DE">
      <w:r>
        <w:rPr>
          <w:rFonts w:hint="eastAsia"/>
        </w:rPr>
        <w:t>この要綱は、昭和６１年４月１日から施行する。</w:t>
      </w:r>
    </w:p>
    <w:p w:rsidR="00C603DE" w:rsidRDefault="00C603DE" w:rsidP="00C603DE">
      <w:r>
        <w:rPr>
          <w:rFonts w:hint="eastAsia"/>
        </w:rPr>
        <w:t>附　則（平成２年告示第１６１号）</w:t>
      </w:r>
    </w:p>
    <w:p w:rsidR="00C603DE" w:rsidRDefault="00C603DE" w:rsidP="00C603DE">
      <w:r>
        <w:rPr>
          <w:rFonts w:hint="eastAsia"/>
        </w:rPr>
        <w:t>この要綱は、平成３年４月１日から施行する。</w:t>
      </w:r>
    </w:p>
    <w:p w:rsidR="00C603DE" w:rsidRDefault="00C603DE" w:rsidP="00C603DE">
      <w:r>
        <w:rPr>
          <w:rFonts w:hint="eastAsia"/>
        </w:rPr>
        <w:t>附　則（平成５年告示第１４０号）</w:t>
      </w:r>
    </w:p>
    <w:p w:rsidR="00C603DE" w:rsidRDefault="00C603DE" w:rsidP="00C603DE">
      <w:r>
        <w:rPr>
          <w:rFonts w:hint="eastAsia"/>
        </w:rPr>
        <w:t>この告示は、平成５年１０月１日から施行する。</w:t>
      </w:r>
    </w:p>
    <w:p w:rsidR="00C603DE" w:rsidRDefault="00C603DE" w:rsidP="00C603DE">
      <w:r>
        <w:rPr>
          <w:rFonts w:hint="eastAsia"/>
        </w:rPr>
        <w:t>附　則（平成８年告示第８１号）</w:t>
      </w:r>
    </w:p>
    <w:p w:rsidR="00C603DE" w:rsidRDefault="00C603DE" w:rsidP="00C603DE">
      <w:r>
        <w:rPr>
          <w:rFonts w:hint="eastAsia"/>
        </w:rPr>
        <w:t>（施行期日）</w:t>
      </w:r>
    </w:p>
    <w:p w:rsidR="00C603DE" w:rsidRDefault="00C603DE" w:rsidP="00C603DE">
      <w:r>
        <w:rPr>
          <w:rFonts w:hint="eastAsia"/>
        </w:rPr>
        <w:t>１　この告示は、公布の日から施行する。</w:t>
      </w:r>
    </w:p>
    <w:p w:rsidR="00C603DE" w:rsidRDefault="00C603DE" w:rsidP="00C603DE">
      <w:r>
        <w:rPr>
          <w:rFonts w:hint="eastAsia"/>
        </w:rPr>
        <w:t>（適用区分）</w:t>
      </w:r>
    </w:p>
    <w:p w:rsidR="00C603DE" w:rsidRDefault="00C603DE" w:rsidP="00C603DE">
      <w:r>
        <w:rPr>
          <w:rFonts w:hint="eastAsia"/>
        </w:rPr>
        <w:t>２　改正後の別表の規定は、平成８年４月１日以後に受けた傷害から適用し、同日前に受けた傷害については、なお従前の例による。</w:t>
      </w:r>
    </w:p>
    <w:p w:rsidR="00C603DE" w:rsidRDefault="00C603DE" w:rsidP="00C603DE">
      <w:r>
        <w:rPr>
          <w:rFonts w:hint="eastAsia"/>
        </w:rPr>
        <w:t>附　則（平成８年告示第１８８号）</w:t>
      </w:r>
    </w:p>
    <w:p w:rsidR="00C603DE" w:rsidRDefault="00C603DE" w:rsidP="00C603DE">
      <w:r>
        <w:rPr>
          <w:rFonts w:hint="eastAsia"/>
        </w:rPr>
        <w:t>この告示は、平成９年４月１日から施行する。</w:t>
      </w:r>
    </w:p>
    <w:p w:rsidR="00C603DE" w:rsidRDefault="00C603DE" w:rsidP="00C603DE">
      <w:r>
        <w:rPr>
          <w:rFonts w:hint="eastAsia"/>
        </w:rPr>
        <w:t>附　則（平成２８年告示第２４１号）</w:t>
      </w:r>
    </w:p>
    <w:p w:rsidR="00C603DE" w:rsidRDefault="00C603DE" w:rsidP="00C603DE">
      <w:r>
        <w:rPr>
          <w:rFonts w:hint="eastAsia"/>
        </w:rPr>
        <w:t>この告示は、平成２９年４月１日から施行する。</w:t>
      </w:r>
    </w:p>
    <w:p w:rsidR="00C603DE" w:rsidRDefault="00C603DE" w:rsidP="00C603DE">
      <w:r>
        <w:rPr>
          <w:rFonts w:hint="eastAsia"/>
        </w:rPr>
        <w:t>別表（第３条関係）</w:t>
      </w:r>
    </w:p>
    <w:p w:rsidR="00C603DE" w:rsidRDefault="00C603DE" w:rsidP="00C603DE">
      <w:r>
        <w:rPr>
          <w:rFonts w:hint="eastAsia"/>
        </w:rPr>
        <w:t>（平８告示８１・一部改正）</w:t>
      </w:r>
    </w:p>
    <w:tbl>
      <w:tblPr>
        <w:tblStyle w:val="a7"/>
        <w:tblW w:w="0" w:type="auto"/>
        <w:tblLook w:val="04A0" w:firstRow="1" w:lastRow="0" w:firstColumn="1" w:lastColumn="0" w:noHBand="0" w:noVBand="1"/>
      </w:tblPr>
      <w:tblGrid>
        <w:gridCol w:w="704"/>
        <w:gridCol w:w="6237"/>
        <w:gridCol w:w="2119"/>
      </w:tblGrid>
      <w:tr w:rsidR="00C603DE" w:rsidTr="00C603DE">
        <w:tc>
          <w:tcPr>
            <w:tcW w:w="704" w:type="dxa"/>
          </w:tcPr>
          <w:p w:rsidR="00C603DE" w:rsidRDefault="00C603DE" w:rsidP="00C603DE">
            <w:pPr>
              <w:jc w:val="center"/>
            </w:pPr>
            <w:r>
              <w:rPr>
                <w:rFonts w:hint="eastAsia"/>
              </w:rPr>
              <w:t>等級</w:t>
            </w:r>
          </w:p>
        </w:tc>
        <w:tc>
          <w:tcPr>
            <w:tcW w:w="6237" w:type="dxa"/>
          </w:tcPr>
          <w:p w:rsidR="00C603DE" w:rsidRDefault="00C603DE" w:rsidP="00C603DE">
            <w:pPr>
              <w:jc w:val="center"/>
            </w:pPr>
            <w:r>
              <w:rPr>
                <w:rFonts w:hint="eastAsia"/>
              </w:rPr>
              <w:t>傷害の程度</w:t>
            </w:r>
          </w:p>
        </w:tc>
        <w:tc>
          <w:tcPr>
            <w:tcW w:w="2119" w:type="dxa"/>
          </w:tcPr>
          <w:p w:rsidR="00C603DE" w:rsidRDefault="00C603DE" w:rsidP="00C603DE">
            <w:pPr>
              <w:jc w:val="center"/>
            </w:pPr>
            <w:r>
              <w:rPr>
                <w:rFonts w:hint="eastAsia"/>
              </w:rPr>
              <w:t>金額</w:t>
            </w:r>
          </w:p>
        </w:tc>
      </w:tr>
      <w:tr w:rsidR="00C603DE" w:rsidTr="00C603DE">
        <w:tc>
          <w:tcPr>
            <w:tcW w:w="704" w:type="dxa"/>
          </w:tcPr>
          <w:p w:rsidR="00C603DE" w:rsidRDefault="00C603DE" w:rsidP="00C603DE">
            <w:r>
              <w:rPr>
                <w:rFonts w:hint="eastAsia"/>
              </w:rPr>
              <w:t>１</w:t>
            </w:r>
          </w:p>
        </w:tc>
        <w:tc>
          <w:tcPr>
            <w:tcW w:w="6237" w:type="dxa"/>
          </w:tcPr>
          <w:p w:rsidR="00C603DE" w:rsidRDefault="00C603DE" w:rsidP="00C603DE">
            <w:r w:rsidRPr="00C603DE">
              <w:rPr>
                <w:rFonts w:hint="eastAsia"/>
              </w:rPr>
              <w:t>死亡した場合</w:t>
            </w:r>
          </w:p>
        </w:tc>
        <w:tc>
          <w:tcPr>
            <w:tcW w:w="2119" w:type="dxa"/>
          </w:tcPr>
          <w:p w:rsidR="00C603DE" w:rsidRDefault="00C603DE" w:rsidP="00C603DE">
            <w:pPr>
              <w:jc w:val="right"/>
            </w:pPr>
            <w:r w:rsidRPr="00C603DE">
              <w:rPr>
                <w:rFonts w:hint="eastAsia"/>
              </w:rPr>
              <w:t>1,000,000円</w:t>
            </w:r>
          </w:p>
        </w:tc>
      </w:tr>
      <w:tr w:rsidR="00C603DE" w:rsidTr="00C603DE">
        <w:tc>
          <w:tcPr>
            <w:tcW w:w="704" w:type="dxa"/>
          </w:tcPr>
          <w:p w:rsidR="00C603DE" w:rsidRDefault="00C603DE" w:rsidP="00C603DE">
            <w:r>
              <w:rPr>
                <w:rFonts w:hint="eastAsia"/>
              </w:rPr>
              <w:lastRenderedPageBreak/>
              <w:t>２</w:t>
            </w:r>
          </w:p>
        </w:tc>
        <w:tc>
          <w:tcPr>
            <w:tcW w:w="6237" w:type="dxa"/>
          </w:tcPr>
          <w:p w:rsidR="00C603DE" w:rsidRDefault="00C603DE" w:rsidP="00C603DE">
            <w:r w:rsidRPr="00C603DE">
              <w:rPr>
                <w:rFonts w:hint="eastAsia"/>
              </w:rPr>
              <w:t>1年以上の治療を要する負傷を受けた場合</w:t>
            </w:r>
          </w:p>
        </w:tc>
        <w:tc>
          <w:tcPr>
            <w:tcW w:w="2119" w:type="dxa"/>
          </w:tcPr>
          <w:p w:rsidR="00C603DE" w:rsidRDefault="00C603DE" w:rsidP="00C603DE">
            <w:pPr>
              <w:jc w:val="right"/>
            </w:pPr>
            <w:r w:rsidRPr="00C603DE">
              <w:rPr>
                <w:rFonts w:hint="eastAsia"/>
              </w:rPr>
              <w:t>300,000円</w:t>
            </w:r>
          </w:p>
        </w:tc>
      </w:tr>
      <w:tr w:rsidR="00C603DE" w:rsidTr="00C603DE">
        <w:tc>
          <w:tcPr>
            <w:tcW w:w="704" w:type="dxa"/>
          </w:tcPr>
          <w:p w:rsidR="00C603DE" w:rsidRDefault="00C603DE" w:rsidP="00C603DE">
            <w:r>
              <w:rPr>
                <w:rFonts w:hint="eastAsia"/>
              </w:rPr>
              <w:t>３</w:t>
            </w:r>
          </w:p>
        </w:tc>
        <w:tc>
          <w:tcPr>
            <w:tcW w:w="6237" w:type="dxa"/>
          </w:tcPr>
          <w:p w:rsidR="00C603DE" w:rsidRDefault="00C603DE" w:rsidP="00C603DE">
            <w:r w:rsidRPr="00C603DE">
              <w:rPr>
                <w:rFonts w:hint="eastAsia"/>
              </w:rPr>
              <w:t>6箇月以上1年未満の治療を要する負傷を受けた場合</w:t>
            </w:r>
          </w:p>
        </w:tc>
        <w:tc>
          <w:tcPr>
            <w:tcW w:w="2119" w:type="dxa"/>
          </w:tcPr>
          <w:p w:rsidR="00C603DE" w:rsidRDefault="00C603DE" w:rsidP="00C603DE">
            <w:pPr>
              <w:jc w:val="right"/>
            </w:pPr>
            <w:r w:rsidRPr="00C603DE">
              <w:rPr>
                <w:rFonts w:hint="eastAsia"/>
              </w:rPr>
              <w:t>100,000円</w:t>
            </w:r>
          </w:p>
        </w:tc>
      </w:tr>
      <w:tr w:rsidR="00C603DE" w:rsidTr="00C603DE">
        <w:tc>
          <w:tcPr>
            <w:tcW w:w="704" w:type="dxa"/>
          </w:tcPr>
          <w:p w:rsidR="00C603DE" w:rsidRDefault="00C603DE" w:rsidP="00C603DE">
            <w:r>
              <w:rPr>
                <w:rFonts w:hint="eastAsia"/>
              </w:rPr>
              <w:t>４</w:t>
            </w:r>
          </w:p>
        </w:tc>
        <w:tc>
          <w:tcPr>
            <w:tcW w:w="6237" w:type="dxa"/>
          </w:tcPr>
          <w:p w:rsidR="00C603DE" w:rsidRDefault="00C603DE" w:rsidP="00C603DE">
            <w:r w:rsidRPr="00C603DE">
              <w:rPr>
                <w:rFonts w:hint="eastAsia"/>
              </w:rPr>
              <w:t>3箇月以上6箇月未満の治療を要する負傷を受けた場合</w:t>
            </w:r>
          </w:p>
        </w:tc>
        <w:tc>
          <w:tcPr>
            <w:tcW w:w="2119" w:type="dxa"/>
          </w:tcPr>
          <w:p w:rsidR="00C603DE" w:rsidRDefault="00C603DE" w:rsidP="00C603DE">
            <w:pPr>
              <w:jc w:val="right"/>
            </w:pPr>
            <w:r>
              <w:rPr>
                <w:rFonts w:hint="eastAsia"/>
              </w:rPr>
              <w:t>50,000円</w:t>
            </w:r>
          </w:p>
        </w:tc>
      </w:tr>
      <w:tr w:rsidR="00C603DE" w:rsidTr="00C603DE">
        <w:tc>
          <w:tcPr>
            <w:tcW w:w="704" w:type="dxa"/>
          </w:tcPr>
          <w:p w:rsidR="00C603DE" w:rsidRDefault="00C603DE" w:rsidP="00C603DE">
            <w:r>
              <w:rPr>
                <w:rFonts w:hint="eastAsia"/>
              </w:rPr>
              <w:t>５</w:t>
            </w:r>
          </w:p>
        </w:tc>
        <w:tc>
          <w:tcPr>
            <w:tcW w:w="6237" w:type="dxa"/>
          </w:tcPr>
          <w:p w:rsidR="00C603DE" w:rsidRDefault="00C603DE" w:rsidP="00C603DE">
            <w:r w:rsidRPr="00C603DE">
              <w:rPr>
                <w:rFonts w:hint="eastAsia"/>
              </w:rPr>
              <w:t>1箇月以上3箇月未満の治療を要する負傷を受けた場合</w:t>
            </w:r>
          </w:p>
        </w:tc>
        <w:tc>
          <w:tcPr>
            <w:tcW w:w="2119" w:type="dxa"/>
          </w:tcPr>
          <w:p w:rsidR="00C603DE" w:rsidRDefault="00C603DE" w:rsidP="00C603DE">
            <w:pPr>
              <w:jc w:val="right"/>
            </w:pPr>
            <w:r>
              <w:rPr>
                <w:rFonts w:hint="eastAsia"/>
              </w:rPr>
              <w:t>30,000円</w:t>
            </w:r>
          </w:p>
        </w:tc>
      </w:tr>
      <w:tr w:rsidR="00C603DE" w:rsidTr="00C603DE">
        <w:tc>
          <w:tcPr>
            <w:tcW w:w="704" w:type="dxa"/>
          </w:tcPr>
          <w:p w:rsidR="00C603DE" w:rsidRDefault="00C603DE" w:rsidP="00C603DE">
            <w:r>
              <w:rPr>
                <w:rFonts w:hint="eastAsia"/>
              </w:rPr>
              <w:t>６</w:t>
            </w:r>
          </w:p>
        </w:tc>
        <w:tc>
          <w:tcPr>
            <w:tcW w:w="6237" w:type="dxa"/>
          </w:tcPr>
          <w:p w:rsidR="00C603DE" w:rsidRDefault="00C603DE" w:rsidP="00C603DE">
            <w:r w:rsidRPr="00C603DE">
              <w:rPr>
                <w:rFonts w:hint="eastAsia"/>
              </w:rPr>
              <w:t>1週間以上1箇月未満の治療を要する負傷を受けた場合</w:t>
            </w:r>
          </w:p>
        </w:tc>
        <w:tc>
          <w:tcPr>
            <w:tcW w:w="2119" w:type="dxa"/>
          </w:tcPr>
          <w:p w:rsidR="00C603DE" w:rsidRDefault="00C603DE" w:rsidP="00C603DE">
            <w:pPr>
              <w:jc w:val="right"/>
            </w:pPr>
            <w:r>
              <w:rPr>
                <w:rFonts w:hint="eastAsia"/>
              </w:rPr>
              <w:t>20,000円</w:t>
            </w:r>
          </w:p>
        </w:tc>
      </w:tr>
    </w:tbl>
    <w:p w:rsidR="00C603DE" w:rsidRDefault="00C603DE" w:rsidP="00C603DE"/>
    <w:p w:rsidR="00C603DE" w:rsidRDefault="00C603DE" w:rsidP="00C603DE">
      <w:r>
        <w:rPr>
          <w:rFonts w:hint="eastAsia"/>
        </w:rPr>
        <w:t>様式第１号（第５条関係）</w:t>
      </w:r>
    </w:p>
    <w:p w:rsidR="00C603DE" w:rsidRDefault="00C603DE" w:rsidP="00C603DE">
      <w:r>
        <w:rPr>
          <w:rFonts w:hint="eastAsia"/>
        </w:rPr>
        <w:t>様式第２号（第６条関係）</w:t>
      </w:r>
    </w:p>
    <w:p w:rsidR="00EA009A" w:rsidRPr="00C603DE" w:rsidRDefault="00EA009A" w:rsidP="00396F62"/>
    <w:sectPr w:rsidR="00EA009A" w:rsidRPr="00C603DE" w:rsidSect="00C603DE">
      <w:pgSz w:w="11906" w:h="16838" w:code="9"/>
      <w:pgMar w:top="1135" w:right="1418" w:bottom="993" w:left="1418"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DE" w:rsidRDefault="00C603DE" w:rsidP="000C74A7">
      <w:r>
        <w:separator/>
      </w:r>
    </w:p>
  </w:endnote>
  <w:endnote w:type="continuationSeparator" w:id="0">
    <w:p w:rsidR="00C603DE" w:rsidRDefault="00C603DE"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DE" w:rsidRDefault="00C603DE" w:rsidP="000C74A7">
      <w:r>
        <w:separator/>
      </w:r>
    </w:p>
  </w:footnote>
  <w:footnote w:type="continuationSeparator" w:id="0">
    <w:p w:rsidR="00C603DE" w:rsidRDefault="00C603DE"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DE"/>
    <w:rsid w:val="00013EB4"/>
    <w:rsid w:val="000C74A7"/>
    <w:rsid w:val="001E12B7"/>
    <w:rsid w:val="00202FD1"/>
    <w:rsid w:val="00297332"/>
    <w:rsid w:val="00396F62"/>
    <w:rsid w:val="00482CC8"/>
    <w:rsid w:val="00563737"/>
    <w:rsid w:val="006201E5"/>
    <w:rsid w:val="0084149D"/>
    <w:rsid w:val="008B0BCE"/>
    <w:rsid w:val="00B60DF0"/>
    <w:rsid w:val="00C603DE"/>
    <w:rsid w:val="00C66E76"/>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8C09E0"/>
  <w15:chartTrackingRefBased/>
  <w15:docId w15:val="{1DA88B67-8E50-4D1E-A6B5-0D07D08F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C6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